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132D" w14:textId="77777777" w:rsidR="000C3310" w:rsidRDefault="000C3310" w:rsidP="000C3310">
      <w:pPr>
        <w:pStyle w:val="Default"/>
        <w:ind w:left="567"/>
        <w:jc w:val="both"/>
        <w:rPr>
          <w:b/>
          <w:bCs/>
          <w:color w:val="auto"/>
        </w:rPr>
      </w:pPr>
      <w:bookmarkStart w:id="0" w:name="_GoBack"/>
      <w:bookmarkEnd w:id="0"/>
      <w:r>
        <w:rPr>
          <w:b/>
          <w:bCs/>
          <w:color w:val="auto"/>
        </w:rPr>
        <w:t>Apprenticeship Standard for Historic Environment Practitioners</w:t>
      </w:r>
      <w:r>
        <w:rPr>
          <w:b/>
          <w:bCs/>
          <w:color w:val="auto"/>
        </w:rPr>
        <w:tab/>
      </w:r>
      <w:r>
        <w:rPr>
          <w:b/>
          <w:bCs/>
          <w:color w:val="auto"/>
        </w:rPr>
        <w:tab/>
      </w:r>
      <w:r>
        <w:rPr>
          <w:b/>
          <w:bCs/>
          <w:color w:val="auto"/>
        </w:rPr>
        <w:tab/>
        <w:t>L3</w:t>
      </w:r>
    </w:p>
    <w:p w14:paraId="6CE17106" w14:textId="77777777" w:rsidR="000C3310" w:rsidRDefault="000C3310" w:rsidP="000C3310">
      <w:pPr>
        <w:pStyle w:val="Default"/>
        <w:ind w:left="567"/>
        <w:jc w:val="both"/>
        <w:rPr>
          <w:b/>
          <w:bCs/>
          <w:color w:val="auto"/>
        </w:rPr>
      </w:pPr>
    </w:p>
    <w:p w14:paraId="1FB9DE8E" w14:textId="77777777" w:rsidR="000C3310" w:rsidRDefault="000C3310" w:rsidP="000C3310">
      <w:pPr>
        <w:pStyle w:val="Default"/>
        <w:ind w:left="567"/>
        <w:rPr>
          <w:color w:val="auto"/>
        </w:rPr>
      </w:pPr>
      <w:r>
        <w:rPr>
          <w:color w:val="auto"/>
        </w:rPr>
        <w:t xml:space="preserve">Historic Environment Practitioners work with historic and ancient sites and collections of materials of all types and dates, across a range of industries including construction, planning and development control, conservation, education, libraries, archives and museums, and tourism. They will be expected to work both individually and as part of multidisciplinary teams. The work can be either office or site-based, or both. </w:t>
      </w:r>
    </w:p>
    <w:p w14:paraId="389BAC4D" w14:textId="77777777" w:rsidR="000C3310" w:rsidRDefault="000C3310" w:rsidP="000C3310">
      <w:pPr>
        <w:pStyle w:val="Default"/>
        <w:ind w:left="567"/>
        <w:rPr>
          <w:color w:val="auto"/>
        </w:rPr>
      </w:pPr>
      <w:r>
        <w:rPr>
          <w:color w:val="auto"/>
        </w:rPr>
        <w:t>At Level 3 their work is fundamentally practical, but will be underpinned by theoretical understanding and a broader awareness of</w:t>
      </w:r>
      <w:r w:rsidRPr="00AB2869">
        <w:t xml:space="preserve"> </w:t>
      </w:r>
      <w:r w:rsidRPr="00AB2869">
        <w:rPr>
          <w:color w:val="auto"/>
        </w:rPr>
        <w:t>the nature of the area of study or work</w:t>
      </w:r>
      <w:r>
        <w:rPr>
          <w:color w:val="auto"/>
        </w:rPr>
        <w:t xml:space="preserve">. Job </w:t>
      </w:r>
      <w:r w:rsidRPr="00AB2869">
        <w:rPr>
          <w:color w:val="auto"/>
        </w:rPr>
        <w:t xml:space="preserve">tasks </w:t>
      </w:r>
      <w:r>
        <w:rPr>
          <w:color w:val="auto"/>
        </w:rPr>
        <w:t xml:space="preserve">will be well-defined but </w:t>
      </w:r>
      <w:r w:rsidRPr="00AB2869">
        <w:rPr>
          <w:color w:val="auto"/>
        </w:rPr>
        <w:t xml:space="preserve">may be complex and non-routine. </w:t>
      </w:r>
      <w:r>
        <w:rPr>
          <w:color w:val="auto"/>
        </w:rPr>
        <w:t>They will</w:t>
      </w:r>
      <w:r w:rsidRPr="00AB2869">
        <w:rPr>
          <w:color w:val="auto"/>
        </w:rPr>
        <w:t xml:space="preserve"> </w:t>
      </w:r>
      <w:r>
        <w:rPr>
          <w:color w:val="auto"/>
        </w:rPr>
        <w:t xml:space="preserve">contribute to the investigation, management and conservation of sites and collections, such as objects and material remains, and engage with the public to promote an understanding of the historic environment. They work under supervision but are responsible for the quality and accuracy of their work and are good communicators and problem solvers. </w:t>
      </w:r>
    </w:p>
    <w:p w14:paraId="472DE116" w14:textId="77777777" w:rsidR="000C3310" w:rsidRDefault="000C3310" w:rsidP="000C3310">
      <w:pPr>
        <w:pStyle w:val="Default"/>
        <w:ind w:left="567"/>
        <w:rPr>
          <w:color w:val="auto"/>
        </w:rPr>
      </w:pPr>
    </w:p>
    <w:p w14:paraId="4620DE09" w14:textId="77777777" w:rsidR="000C3310" w:rsidRDefault="000C3310" w:rsidP="000C3310">
      <w:pPr>
        <w:pStyle w:val="Default"/>
        <w:ind w:left="567"/>
        <w:rPr>
          <w:color w:val="auto"/>
        </w:rPr>
      </w:pPr>
      <w:r w:rsidRPr="006B551E">
        <w:rPr>
          <w:color w:val="auto"/>
        </w:rPr>
        <w:t>No individual practitioner could be expected to operate with equal skill and effectiveness across the entire scope of the historic environment industry and each practitioner will need to specialise to some degree.</w:t>
      </w:r>
    </w:p>
    <w:p w14:paraId="75F2DF53" w14:textId="77777777" w:rsidR="000C3310" w:rsidRDefault="000C3310" w:rsidP="000C3310">
      <w:pPr>
        <w:pStyle w:val="Default"/>
        <w:ind w:left="567"/>
        <w:rPr>
          <w:color w:val="auto"/>
        </w:rPr>
      </w:pPr>
    </w:p>
    <w:p w14:paraId="016E6E1D" w14:textId="77777777" w:rsidR="000C3310" w:rsidRDefault="000C3310" w:rsidP="000C3310">
      <w:pPr>
        <w:pStyle w:val="Default"/>
        <w:ind w:left="567"/>
        <w:rPr>
          <w:i/>
          <w:color w:val="auto"/>
        </w:rPr>
      </w:pPr>
      <w:r>
        <w:rPr>
          <w:color w:val="auto"/>
        </w:rPr>
        <w:t xml:space="preserve">Job titles include: </w:t>
      </w:r>
      <w:r>
        <w:rPr>
          <w:i/>
          <w:color w:val="auto"/>
        </w:rPr>
        <w:t>Archaeological Technician (Fieldwork/Geophysics/Coastal &amp; Marine); Finds Assistant; Conservation Technician; Records Assistant; HER Assistant; Junior Heritage Consultant</w:t>
      </w:r>
    </w:p>
    <w:p w14:paraId="048304DD" w14:textId="77777777" w:rsidR="000C3310" w:rsidRDefault="000C3310" w:rsidP="000C3310">
      <w:pPr>
        <w:pStyle w:val="Default"/>
        <w:ind w:left="567"/>
        <w:rPr>
          <w:color w:val="auto"/>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402"/>
        <w:gridCol w:w="4536"/>
      </w:tblGrid>
      <w:tr w:rsidR="000C3310" w14:paraId="534CF70D" w14:textId="77777777" w:rsidTr="000C3310">
        <w:tblPrEx>
          <w:tblCellMar>
            <w:top w:w="0" w:type="dxa"/>
            <w:left w:w="0" w:type="dxa"/>
            <w:bottom w:w="0" w:type="dxa"/>
            <w:right w:w="0" w:type="dxa"/>
          </w:tblCellMar>
        </w:tblPrEx>
        <w:trPr>
          <w:trHeight w:val="222"/>
          <w:tblHeader/>
        </w:trPr>
        <w:tc>
          <w:tcPr>
            <w:tcW w:w="1560" w:type="dxa"/>
            <w:shd w:val="clear" w:color="auto" w:fill="95B3D7"/>
          </w:tcPr>
          <w:p w14:paraId="315E39DA" w14:textId="77777777" w:rsidR="000C3310" w:rsidRDefault="000C3310" w:rsidP="000C3310">
            <w:pPr>
              <w:pStyle w:val="Default"/>
              <w:rPr>
                <w:sz w:val="20"/>
                <w:szCs w:val="20"/>
              </w:rPr>
            </w:pPr>
            <w:r>
              <w:rPr>
                <w:b/>
                <w:bCs/>
                <w:sz w:val="20"/>
                <w:szCs w:val="20"/>
              </w:rPr>
              <w:t xml:space="preserve">WORK ASPECTS </w:t>
            </w:r>
          </w:p>
        </w:tc>
        <w:tc>
          <w:tcPr>
            <w:tcW w:w="3402" w:type="dxa"/>
            <w:shd w:val="clear" w:color="auto" w:fill="95B3D7"/>
          </w:tcPr>
          <w:p w14:paraId="06DE1B93" w14:textId="77777777" w:rsidR="000C3310" w:rsidRDefault="000C3310" w:rsidP="000C3310">
            <w:pPr>
              <w:pStyle w:val="Default"/>
              <w:ind w:left="567"/>
              <w:rPr>
                <w:sz w:val="20"/>
                <w:szCs w:val="20"/>
              </w:rPr>
            </w:pPr>
            <w:r>
              <w:rPr>
                <w:b/>
                <w:bCs/>
                <w:sz w:val="20"/>
                <w:szCs w:val="20"/>
              </w:rPr>
              <w:t xml:space="preserve">SKILL </w:t>
            </w:r>
          </w:p>
          <w:p w14:paraId="11D49382" w14:textId="77777777" w:rsidR="000C3310" w:rsidRDefault="000C3310" w:rsidP="000C3310">
            <w:pPr>
              <w:pStyle w:val="Default"/>
              <w:ind w:left="567"/>
              <w:rPr>
                <w:sz w:val="20"/>
                <w:szCs w:val="20"/>
              </w:rPr>
            </w:pPr>
            <w:r>
              <w:rPr>
                <w:sz w:val="20"/>
                <w:szCs w:val="20"/>
              </w:rPr>
              <w:t xml:space="preserve">The practitioner will: </w:t>
            </w:r>
          </w:p>
        </w:tc>
        <w:tc>
          <w:tcPr>
            <w:tcW w:w="4536" w:type="dxa"/>
            <w:shd w:val="clear" w:color="auto" w:fill="95B3D7"/>
          </w:tcPr>
          <w:p w14:paraId="232BADCB" w14:textId="77777777" w:rsidR="000C3310" w:rsidRDefault="000C3310" w:rsidP="000C3310">
            <w:pPr>
              <w:pStyle w:val="Default"/>
              <w:ind w:left="567"/>
              <w:rPr>
                <w:sz w:val="20"/>
                <w:szCs w:val="20"/>
              </w:rPr>
            </w:pPr>
            <w:r>
              <w:rPr>
                <w:b/>
                <w:bCs/>
                <w:sz w:val="20"/>
                <w:szCs w:val="20"/>
              </w:rPr>
              <w:t xml:space="preserve">KNOWLEDGE AND UNDERSTANDING </w:t>
            </w:r>
          </w:p>
          <w:p w14:paraId="5DB7127C" w14:textId="77777777" w:rsidR="000C3310" w:rsidRDefault="000C3310" w:rsidP="000C3310">
            <w:pPr>
              <w:pStyle w:val="Default"/>
              <w:ind w:left="567"/>
              <w:rPr>
                <w:sz w:val="20"/>
                <w:szCs w:val="20"/>
              </w:rPr>
            </w:pPr>
            <w:r>
              <w:rPr>
                <w:sz w:val="20"/>
                <w:szCs w:val="20"/>
              </w:rPr>
              <w:t xml:space="preserve">The practitioner will know and understand: </w:t>
            </w:r>
          </w:p>
        </w:tc>
      </w:tr>
      <w:tr w:rsidR="000C3310" w14:paraId="532104C4" w14:textId="77777777" w:rsidTr="000C3310">
        <w:tblPrEx>
          <w:tblCellMar>
            <w:top w:w="0" w:type="dxa"/>
            <w:left w:w="0" w:type="dxa"/>
            <w:bottom w:w="0" w:type="dxa"/>
            <w:right w:w="0" w:type="dxa"/>
          </w:tblCellMar>
        </w:tblPrEx>
        <w:trPr>
          <w:trHeight w:val="1182"/>
        </w:trPr>
        <w:tc>
          <w:tcPr>
            <w:tcW w:w="1560" w:type="dxa"/>
          </w:tcPr>
          <w:p w14:paraId="4AAE8158" w14:textId="77777777" w:rsidR="000C3310" w:rsidRDefault="000C3310" w:rsidP="000C3310">
            <w:pPr>
              <w:pStyle w:val="Default"/>
              <w:rPr>
                <w:b/>
                <w:bCs/>
                <w:sz w:val="20"/>
                <w:szCs w:val="20"/>
              </w:rPr>
            </w:pPr>
            <w:r>
              <w:rPr>
                <w:b/>
                <w:bCs/>
                <w:sz w:val="20"/>
                <w:szCs w:val="20"/>
              </w:rPr>
              <w:t>Judgement and Ethics</w:t>
            </w:r>
          </w:p>
        </w:tc>
        <w:tc>
          <w:tcPr>
            <w:tcW w:w="3402" w:type="dxa"/>
          </w:tcPr>
          <w:p w14:paraId="23A4DBB8" w14:textId="77777777" w:rsidR="000C3310" w:rsidRDefault="000C3310" w:rsidP="000C3310">
            <w:pPr>
              <w:pStyle w:val="Default"/>
              <w:numPr>
                <w:ilvl w:val="0"/>
                <w:numId w:val="2"/>
              </w:numPr>
              <w:ind w:left="317" w:hanging="284"/>
              <w:rPr>
                <w:sz w:val="20"/>
                <w:szCs w:val="20"/>
              </w:rPr>
            </w:pPr>
            <w:r>
              <w:rPr>
                <w:sz w:val="20"/>
                <w:szCs w:val="20"/>
              </w:rPr>
              <w:t>apply an awareness of professional judgement and ethical behaviour</w:t>
            </w:r>
          </w:p>
          <w:p w14:paraId="068DF804" w14:textId="77777777" w:rsidR="000C3310" w:rsidRDefault="000C3310" w:rsidP="000C3310">
            <w:pPr>
              <w:pStyle w:val="Default"/>
              <w:numPr>
                <w:ilvl w:val="0"/>
                <w:numId w:val="2"/>
              </w:numPr>
              <w:ind w:left="317" w:hanging="284"/>
              <w:rPr>
                <w:sz w:val="20"/>
                <w:szCs w:val="20"/>
              </w:rPr>
            </w:pPr>
            <w:r>
              <w:rPr>
                <w:sz w:val="20"/>
                <w:szCs w:val="20"/>
              </w:rPr>
              <w:t>act responsibly in the care of the historic environment within their influence</w:t>
            </w:r>
          </w:p>
          <w:p w14:paraId="0F706096" w14:textId="77777777" w:rsidR="000C3310" w:rsidRDefault="000C3310" w:rsidP="000C3310">
            <w:pPr>
              <w:pStyle w:val="Default"/>
              <w:numPr>
                <w:ilvl w:val="0"/>
                <w:numId w:val="2"/>
              </w:numPr>
              <w:ind w:left="317" w:hanging="284"/>
              <w:rPr>
                <w:sz w:val="20"/>
                <w:szCs w:val="20"/>
              </w:rPr>
            </w:pPr>
            <w:r>
              <w:rPr>
                <w:sz w:val="20"/>
                <w:szCs w:val="20"/>
              </w:rPr>
              <w:t>act responsibly and ethically in dealings with the public, employers, clients and colleagues</w:t>
            </w:r>
          </w:p>
        </w:tc>
        <w:tc>
          <w:tcPr>
            <w:tcW w:w="4536" w:type="dxa"/>
          </w:tcPr>
          <w:p w14:paraId="653617A2" w14:textId="77777777" w:rsidR="000C3310" w:rsidRDefault="000C3310" w:rsidP="000C3310">
            <w:pPr>
              <w:pStyle w:val="Default"/>
              <w:numPr>
                <w:ilvl w:val="0"/>
                <w:numId w:val="2"/>
              </w:numPr>
              <w:ind w:left="317" w:hanging="284"/>
              <w:rPr>
                <w:sz w:val="20"/>
                <w:szCs w:val="20"/>
              </w:rPr>
            </w:pPr>
            <w:r>
              <w:rPr>
                <w:sz w:val="20"/>
                <w:szCs w:val="20"/>
              </w:rPr>
              <w:t>ethical principles in general and have a sound understanding of areas specific to their practice</w:t>
            </w:r>
          </w:p>
          <w:p w14:paraId="67358415" w14:textId="77777777" w:rsidR="000C3310" w:rsidRDefault="000C3310" w:rsidP="000C3310">
            <w:pPr>
              <w:pStyle w:val="Default"/>
              <w:numPr>
                <w:ilvl w:val="0"/>
                <w:numId w:val="2"/>
              </w:numPr>
              <w:ind w:left="317" w:hanging="284"/>
              <w:rPr>
                <w:sz w:val="20"/>
                <w:szCs w:val="20"/>
              </w:rPr>
            </w:pPr>
            <w:r>
              <w:rPr>
                <w:sz w:val="20"/>
                <w:szCs w:val="20"/>
              </w:rPr>
              <w:t>their relevant professional body's code of ethics and practice and how to observe them at work</w:t>
            </w:r>
          </w:p>
          <w:p w14:paraId="0B18F87E" w14:textId="77777777" w:rsidR="000C3310" w:rsidRDefault="000C3310" w:rsidP="000C3310">
            <w:pPr>
              <w:pStyle w:val="Default"/>
              <w:numPr>
                <w:ilvl w:val="0"/>
                <w:numId w:val="2"/>
              </w:numPr>
              <w:ind w:left="317" w:hanging="284"/>
              <w:rPr>
                <w:sz w:val="20"/>
                <w:szCs w:val="20"/>
              </w:rPr>
            </w:pPr>
            <w:r>
              <w:rPr>
                <w:sz w:val="20"/>
                <w:szCs w:val="20"/>
              </w:rPr>
              <w:t>statutory compliance</w:t>
            </w:r>
          </w:p>
          <w:p w14:paraId="5801AB9A" w14:textId="77777777" w:rsidR="000C3310" w:rsidRDefault="000C3310" w:rsidP="000C3310">
            <w:pPr>
              <w:pStyle w:val="Default"/>
              <w:numPr>
                <w:ilvl w:val="0"/>
                <w:numId w:val="2"/>
              </w:numPr>
              <w:ind w:left="317" w:hanging="284"/>
              <w:rPr>
                <w:sz w:val="20"/>
                <w:szCs w:val="20"/>
              </w:rPr>
            </w:pPr>
            <w:r>
              <w:rPr>
                <w:sz w:val="20"/>
                <w:szCs w:val="20"/>
              </w:rPr>
              <w:t>the limits of their own understanding, abilities and responsibilities, and how to practice within them</w:t>
            </w:r>
          </w:p>
        </w:tc>
      </w:tr>
      <w:tr w:rsidR="000C3310" w14:paraId="32AA5A78" w14:textId="77777777" w:rsidTr="000C3310">
        <w:tblPrEx>
          <w:tblCellMar>
            <w:top w:w="0" w:type="dxa"/>
            <w:left w:w="0" w:type="dxa"/>
            <w:bottom w:w="0" w:type="dxa"/>
            <w:right w:w="0" w:type="dxa"/>
          </w:tblCellMar>
        </w:tblPrEx>
        <w:trPr>
          <w:trHeight w:val="1182"/>
        </w:trPr>
        <w:tc>
          <w:tcPr>
            <w:tcW w:w="1560" w:type="dxa"/>
          </w:tcPr>
          <w:p w14:paraId="34C0BA88" w14:textId="77777777" w:rsidR="000C3310" w:rsidRDefault="000C3310" w:rsidP="000C3310">
            <w:pPr>
              <w:pStyle w:val="Default"/>
              <w:rPr>
                <w:sz w:val="20"/>
                <w:szCs w:val="20"/>
              </w:rPr>
            </w:pPr>
            <w:r>
              <w:rPr>
                <w:b/>
                <w:bCs/>
                <w:sz w:val="20"/>
                <w:szCs w:val="20"/>
              </w:rPr>
              <w:t>Research and Analyse</w:t>
            </w:r>
          </w:p>
        </w:tc>
        <w:tc>
          <w:tcPr>
            <w:tcW w:w="3402" w:type="dxa"/>
          </w:tcPr>
          <w:p w14:paraId="60C0B963" w14:textId="77777777" w:rsidR="000C3310" w:rsidRDefault="000C3310" w:rsidP="000C3310">
            <w:pPr>
              <w:pStyle w:val="Default"/>
              <w:numPr>
                <w:ilvl w:val="0"/>
                <w:numId w:val="2"/>
              </w:numPr>
              <w:ind w:left="317" w:hanging="284"/>
              <w:rPr>
                <w:sz w:val="20"/>
                <w:szCs w:val="20"/>
              </w:rPr>
            </w:pPr>
            <w:r>
              <w:rPr>
                <w:sz w:val="20"/>
                <w:szCs w:val="20"/>
              </w:rPr>
              <w:t>i awareness of sources and availability</w:t>
            </w:r>
          </w:p>
          <w:p w14:paraId="5C94FDD4" w14:textId="77777777" w:rsidR="000C3310" w:rsidRDefault="000C3310" w:rsidP="000C3310">
            <w:pPr>
              <w:pStyle w:val="Default"/>
              <w:numPr>
                <w:ilvl w:val="0"/>
                <w:numId w:val="2"/>
              </w:numPr>
              <w:ind w:left="317" w:hanging="284"/>
              <w:rPr>
                <w:sz w:val="20"/>
                <w:szCs w:val="20"/>
              </w:rPr>
            </w:pPr>
            <w:r>
              <w:rPr>
                <w:sz w:val="20"/>
                <w:szCs w:val="20"/>
              </w:rPr>
              <w:t>collect information to achieve research objectives</w:t>
            </w:r>
          </w:p>
          <w:p w14:paraId="5ADA9950" w14:textId="77777777" w:rsidR="000C3310" w:rsidRDefault="000C3310" w:rsidP="000C3310">
            <w:pPr>
              <w:pStyle w:val="Default"/>
              <w:numPr>
                <w:ilvl w:val="0"/>
                <w:numId w:val="2"/>
              </w:numPr>
              <w:ind w:left="317" w:hanging="284"/>
              <w:rPr>
                <w:sz w:val="20"/>
                <w:szCs w:val="20"/>
              </w:rPr>
            </w:pPr>
            <w:r>
              <w:rPr>
                <w:sz w:val="20"/>
                <w:szCs w:val="20"/>
              </w:rPr>
              <w:t xml:space="preserve">  Support the analysis of research information and compile results</w:t>
            </w:r>
          </w:p>
        </w:tc>
        <w:tc>
          <w:tcPr>
            <w:tcW w:w="4536" w:type="dxa"/>
          </w:tcPr>
          <w:p w14:paraId="0F38701A" w14:textId="77777777" w:rsidR="000C3310" w:rsidRDefault="000C3310" w:rsidP="000C3310">
            <w:pPr>
              <w:pStyle w:val="Default"/>
              <w:numPr>
                <w:ilvl w:val="0"/>
                <w:numId w:val="2"/>
              </w:numPr>
              <w:ind w:left="317" w:hanging="284"/>
              <w:rPr>
                <w:sz w:val="20"/>
                <w:szCs w:val="20"/>
              </w:rPr>
            </w:pPr>
            <w:r>
              <w:rPr>
                <w:sz w:val="20"/>
                <w:szCs w:val="20"/>
              </w:rPr>
              <w:t>sources and types of existing data</w:t>
            </w:r>
          </w:p>
          <w:p w14:paraId="0331475A" w14:textId="77777777" w:rsidR="000C3310" w:rsidRDefault="000C3310" w:rsidP="000C3310">
            <w:pPr>
              <w:pStyle w:val="Default"/>
              <w:numPr>
                <w:ilvl w:val="0"/>
                <w:numId w:val="2"/>
              </w:numPr>
              <w:ind w:left="317" w:hanging="284"/>
              <w:rPr>
                <w:sz w:val="20"/>
                <w:szCs w:val="20"/>
              </w:rPr>
            </w:pPr>
            <w:r>
              <w:rPr>
                <w:sz w:val="20"/>
                <w:szCs w:val="20"/>
              </w:rPr>
              <w:t xml:space="preserve">appropriate research methods </w:t>
            </w:r>
          </w:p>
          <w:p w14:paraId="148AFA20" w14:textId="77777777" w:rsidR="000C3310" w:rsidRDefault="000C3310" w:rsidP="000C3310">
            <w:pPr>
              <w:pStyle w:val="Default"/>
              <w:numPr>
                <w:ilvl w:val="0"/>
                <w:numId w:val="2"/>
              </w:numPr>
              <w:ind w:left="317" w:hanging="284"/>
              <w:rPr>
                <w:sz w:val="20"/>
                <w:szCs w:val="20"/>
              </w:rPr>
            </w:pPr>
            <w:r>
              <w:rPr>
                <w:sz w:val="20"/>
                <w:szCs w:val="20"/>
              </w:rPr>
              <w:t>appropriate presentation formats</w:t>
            </w:r>
          </w:p>
        </w:tc>
      </w:tr>
      <w:tr w:rsidR="000C3310" w14:paraId="40C849E6" w14:textId="77777777" w:rsidTr="000C3310">
        <w:tblPrEx>
          <w:tblCellMar>
            <w:top w:w="0" w:type="dxa"/>
            <w:left w:w="0" w:type="dxa"/>
            <w:bottom w:w="0" w:type="dxa"/>
            <w:right w:w="0" w:type="dxa"/>
          </w:tblCellMar>
        </w:tblPrEx>
        <w:trPr>
          <w:trHeight w:val="736"/>
        </w:trPr>
        <w:tc>
          <w:tcPr>
            <w:tcW w:w="1560" w:type="dxa"/>
          </w:tcPr>
          <w:p w14:paraId="4C5D8AF4" w14:textId="77777777" w:rsidR="000C3310" w:rsidRDefault="000C3310" w:rsidP="000C3310">
            <w:pPr>
              <w:pStyle w:val="Default"/>
              <w:rPr>
                <w:sz w:val="20"/>
                <w:szCs w:val="20"/>
              </w:rPr>
            </w:pPr>
            <w:r>
              <w:rPr>
                <w:b/>
                <w:bCs/>
                <w:sz w:val="20"/>
                <w:szCs w:val="20"/>
              </w:rPr>
              <w:t xml:space="preserve">Maintain Compliance </w:t>
            </w:r>
          </w:p>
        </w:tc>
        <w:tc>
          <w:tcPr>
            <w:tcW w:w="3402" w:type="dxa"/>
          </w:tcPr>
          <w:p w14:paraId="3BA898EB" w14:textId="77777777" w:rsidR="000C3310" w:rsidRDefault="000C3310" w:rsidP="000C3310">
            <w:pPr>
              <w:pStyle w:val="Default"/>
              <w:numPr>
                <w:ilvl w:val="0"/>
                <w:numId w:val="2"/>
              </w:numPr>
              <w:ind w:left="317" w:hanging="284"/>
              <w:rPr>
                <w:sz w:val="20"/>
                <w:szCs w:val="20"/>
              </w:rPr>
            </w:pPr>
            <w:r>
              <w:rPr>
                <w:sz w:val="20"/>
                <w:szCs w:val="20"/>
              </w:rPr>
              <w:t>use relevant statutory, ethical, quality and policy standards</w:t>
            </w:r>
          </w:p>
          <w:p w14:paraId="4DFF46E3" w14:textId="77777777" w:rsidR="000C3310" w:rsidRDefault="000C3310" w:rsidP="000C3310">
            <w:pPr>
              <w:pStyle w:val="Default"/>
              <w:numPr>
                <w:ilvl w:val="0"/>
                <w:numId w:val="2"/>
              </w:numPr>
              <w:ind w:left="317" w:hanging="284"/>
              <w:rPr>
                <w:sz w:val="20"/>
                <w:szCs w:val="20"/>
              </w:rPr>
            </w:pPr>
            <w:r>
              <w:rPr>
                <w:sz w:val="20"/>
                <w:szCs w:val="20"/>
              </w:rPr>
              <w:t xml:space="preserve">carry </w:t>
            </w:r>
            <w:proofErr w:type="gramStart"/>
            <w:r>
              <w:rPr>
                <w:sz w:val="20"/>
                <w:szCs w:val="20"/>
              </w:rPr>
              <w:t>out  work</w:t>
            </w:r>
            <w:proofErr w:type="gramEnd"/>
            <w:r>
              <w:rPr>
                <w:sz w:val="20"/>
                <w:szCs w:val="20"/>
              </w:rPr>
              <w:t xml:space="preserve"> in line with standards</w:t>
            </w:r>
          </w:p>
          <w:p w14:paraId="554F524C" w14:textId="77777777" w:rsidR="000C3310" w:rsidRDefault="000C3310" w:rsidP="000C3310">
            <w:pPr>
              <w:pStyle w:val="Default"/>
              <w:ind w:left="317"/>
              <w:rPr>
                <w:sz w:val="20"/>
                <w:szCs w:val="20"/>
              </w:rPr>
            </w:pPr>
          </w:p>
        </w:tc>
        <w:tc>
          <w:tcPr>
            <w:tcW w:w="4536" w:type="dxa"/>
          </w:tcPr>
          <w:p w14:paraId="5F1513A9" w14:textId="77777777" w:rsidR="000C3310" w:rsidRDefault="000C3310" w:rsidP="000C3310">
            <w:pPr>
              <w:pStyle w:val="Default"/>
              <w:numPr>
                <w:ilvl w:val="0"/>
                <w:numId w:val="2"/>
              </w:numPr>
              <w:ind w:left="317" w:hanging="284"/>
              <w:rPr>
                <w:sz w:val="20"/>
                <w:szCs w:val="20"/>
              </w:rPr>
            </w:pPr>
            <w:r>
              <w:rPr>
                <w:sz w:val="20"/>
                <w:szCs w:val="20"/>
              </w:rPr>
              <w:t>sources and types of guidance applicable to work undertaken</w:t>
            </w:r>
          </w:p>
          <w:p w14:paraId="46A0235E" w14:textId="77777777" w:rsidR="000C3310" w:rsidRDefault="000C3310" w:rsidP="000C3310">
            <w:pPr>
              <w:pStyle w:val="Default"/>
              <w:numPr>
                <w:ilvl w:val="0"/>
                <w:numId w:val="2"/>
              </w:numPr>
              <w:ind w:left="317" w:hanging="284"/>
              <w:rPr>
                <w:sz w:val="20"/>
                <w:szCs w:val="20"/>
              </w:rPr>
            </w:pPr>
            <w:r>
              <w:rPr>
                <w:sz w:val="20"/>
                <w:szCs w:val="20"/>
              </w:rPr>
              <w:t>the differing areas of responsibility of statutory bodies, employers and staff</w:t>
            </w:r>
          </w:p>
          <w:p w14:paraId="0879B959" w14:textId="77777777" w:rsidR="000C3310" w:rsidRDefault="000C3310" w:rsidP="000C3310">
            <w:pPr>
              <w:pStyle w:val="Default"/>
              <w:numPr>
                <w:ilvl w:val="0"/>
                <w:numId w:val="2"/>
              </w:numPr>
              <w:ind w:left="317" w:hanging="284"/>
              <w:rPr>
                <w:sz w:val="20"/>
                <w:szCs w:val="20"/>
              </w:rPr>
            </w:pPr>
            <w:r>
              <w:rPr>
                <w:sz w:val="20"/>
                <w:szCs w:val="20"/>
              </w:rPr>
              <w:t>procedures for risk assessment, management and mitigation</w:t>
            </w:r>
          </w:p>
        </w:tc>
      </w:tr>
      <w:tr w:rsidR="000C3310" w14:paraId="2D404CDA" w14:textId="77777777" w:rsidTr="000C3310">
        <w:tblPrEx>
          <w:tblCellMar>
            <w:top w:w="0" w:type="dxa"/>
            <w:left w:w="0" w:type="dxa"/>
            <w:bottom w:w="0" w:type="dxa"/>
            <w:right w:w="0" w:type="dxa"/>
          </w:tblCellMar>
        </w:tblPrEx>
        <w:trPr>
          <w:trHeight w:val="274"/>
        </w:trPr>
        <w:tc>
          <w:tcPr>
            <w:tcW w:w="1560" w:type="dxa"/>
          </w:tcPr>
          <w:p w14:paraId="5EC7C9BB" w14:textId="77777777" w:rsidR="000C3310" w:rsidRDefault="000C3310" w:rsidP="000C3310">
            <w:pPr>
              <w:pStyle w:val="Default"/>
              <w:rPr>
                <w:b/>
                <w:sz w:val="20"/>
                <w:szCs w:val="20"/>
              </w:rPr>
            </w:pPr>
            <w:r>
              <w:rPr>
                <w:b/>
                <w:sz w:val="20"/>
                <w:szCs w:val="20"/>
              </w:rPr>
              <w:t>Plan and Prepare for Work</w:t>
            </w:r>
          </w:p>
        </w:tc>
        <w:tc>
          <w:tcPr>
            <w:tcW w:w="3402" w:type="dxa"/>
          </w:tcPr>
          <w:p w14:paraId="3192E838" w14:textId="77777777" w:rsidR="000C3310" w:rsidRDefault="000C3310" w:rsidP="000C3310">
            <w:pPr>
              <w:pStyle w:val="Default"/>
              <w:numPr>
                <w:ilvl w:val="0"/>
                <w:numId w:val="2"/>
              </w:numPr>
              <w:ind w:left="317" w:hanging="284"/>
              <w:rPr>
                <w:sz w:val="20"/>
                <w:szCs w:val="20"/>
              </w:rPr>
            </w:pPr>
            <w:r>
              <w:rPr>
                <w:sz w:val="20"/>
                <w:szCs w:val="20"/>
              </w:rPr>
              <w:t>be able to work from a brief</w:t>
            </w:r>
          </w:p>
          <w:p w14:paraId="6BE38BA6" w14:textId="77777777" w:rsidR="000C3310" w:rsidRDefault="000C3310" w:rsidP="000C3310">
            <w:pPr>
              <w:pStyle w:val="Default"/>
              <w:numPr>
                <w:ilvl w:val="0"/>
                <w:numId w:val="2"/>
              </w:numPr>
              <w:ind w:left="317" w:hanging="284"/>
              <w:rPr>
                <w:sz w:val="20"/>
                <w:szCs w:val="20"/>
              </w:rPr>
            </w:pPr>
            <w:r w:rsidRPr="00B04A3B">
              <w:rPr>
                <w:sz w:val="20"/>
                <w:szCs w:val="20"/>
              </w:rPr>
              <w:t>Use appropriate investigation to inform actions.</w:t>
            </w:r>
          </w:p>
          <w:p w14:paraId="1371614F" w14:textId="77777777" w:rsidR="000C3310" w:rsidRDefault="000C3310" w:rsidP="000C3310">
            <w:pPr>
              <w:pStyle w:val="Default"/>
              <w:numPr>
                <w:ilvl w:val="0"/>
                <w:numId w:val="2"/>
              </w:numPr>
              <w:ind w:left="317" w:hanging="284"/>
              <w:rPr>
                <w:sz w:val="20"/>
                <w:szCs w:val="20"/>
              </w:rPr>
            </w:pPr>
            <w:r>
              <w:rPr>
                <w:sz w:val="20"/>
                <w:szCs w:val="20"/>
              </w:rPr>
              <w:t>estimate resources and select equipment related to brief</w:t>
            </w:r>
          </w:p>
          <w:p w14:paraId="7FAECCDE" w14:textId="77777777" w:rsidR="000C3310" w:rsidRDefault="000C3310" w:rsidP="000C3310">
            <w:pPr>
              <w:pStyle w:val="Default"/>
              <w:numPr>
                <w:ilvl w:val="0"/>
                <w:numId w:val="2"/>
              </w:numPr>
              <w:ind w:left="317" w:hanging="284"/>
              <w:rPr>
                <w:sz w:val="20"/>
                <w:szCs w:val="20"/>
              </w:rPr>
            </w:pPr>
            <w:r>
              <w:rPr>
                <w:sz w:val="20"/>
                <w:szCs w:val="20"/>
              </w:rPr>
              <w:t>agree task methods</w:t>
            </w:r>
          </w:p>
        </w:tc>
        <w:tc>
          <w:tcPr>
            <w:tcW w:w="4536" w:type="dxa"/>
          </w:tcPr>
          <w:p w14:paraId="6FF65130" w14:textId="77777777" w:rsidR="000C3310" w:rsidRDefault="000C3310" w:rsidP="000C3310">
            <w:pPr>
              <w:pStyle w:val="Default"/>
              <w:numPr>
                <w:ilvl w:val="0"/>
                <w:numId w:val="2"/>
              </w:numPr>
              <w:ind w:left="317" w:hanging="284"/>
              <w:rPr>
                <w:sz w:val="20"/>
                <w:szCs w:val="20"/>
              </w:rPr>
            </w:pPr>
            <w:r w:rsidRPr="00B04A3B">
              <w:rPr>
                <w:sz w:val="20"/>
                <w:szCs w:val="20"/>
              </w:rPr>
              <w:t>the nature of the area of study or work</w:t>
            </w:r>
            <w:r w:rsidRPr="00B04A3B" w:rsidDel="00B04A3B">
              <w:rPr>
                <w:sz w:val="20"/>
                <w:szCs w:val="20"/>
              </w:rPr>
              <w:t xml:space="preserve"> </w:t>
            </w:r>
          </w:p>
          <w:p w14:paraId="5795980C" w14:textId="77777777" w:rsidR="000C3310" w:rsidRDefault="000C3310" w:rsidP="000C3310">
            <w:pPr>
              <w:pStyle w:val="Default"/>
              <w:numPr>
                <w:ilvl w:val="0"/>
                <w:numId w:val="2"/>
              </w:numPr>
              <w:ind w:left="317" w:hanging="284"/>
              <w:rPr>
                <w:sz w:val="20"/>
                <w:szCs w:val="20"/>
              </w:rPr>
            </w:pPr>
            <w:r>
              <w:rPr>
                <w:sz w:val="20"/>
                <w:szCs w:val="20"/>
              </w:rPr>
              <w:t>baseline estimates of the time and resources needed to complete each task allocated</w:t>
            </w:r>
          </w:p>
          <w:p w14:paraId="20F6D6B5" w14:textId="77777777" w:rsidR="000C3310" w:rsidRDefault="000C3310" w:rsidP="000C3310">
            <w:pPr>
              <w:pStyle w:val="Default"/>
              <w:numPr>
                <w:ilvl w:val="0"/>
                <w:numId w:val="2"/>
              </w:numPr>
              <w:ind w:left="317" w:hanging="284"/>
              <w:rPr>
                <w:sz w:val="20"/>
                <w:szCs w:val="20"/>
              </w:rPr>
            </w:pPr>
            <w:r>
              <w:rPr>
                <w:sz w:val="20"/>
                <w:szCs w:val="20"/>
              </w:rPr>
              <w:t xml:space="preserve">how to evaluate methods for achieving the aims and </w:t>
            </w:r>
            <w:proofErr w:type="gramStart"/>
            <w:r>
              <w:rPr>
                <w:sz w:val="20"/>
                <w:szCs w:val="20"/>
              </w:rPr>
              <w:t>deliverables</w:t>
            </w:r>
            <w:proofErr w:type="gramEnd"/>
          </w:p>
          <w:p w14:paraId="3897A922" w14:textId="77777777" w:rsidR="000C3310" w:rsidRDefault="000C3310" w:rsidP="000C3310">
            <w:pPr>
              <w:pStyle w:val="Default"/>
              <w:numPr>
                <w:ilvl w:val="0"/>
                <w:numId w:val="2"/>
              </w:numPr>
              <w:ind w:left="317" w:hanging="284"/>
              <w:rPr>
                <w:color w:val="auto"/>
                <w:sz w:val="20"/>
                <w:szCs w:val="20"/>
              </w:rPr>
            </w:pPr>
            <w:r>
              <w:rPr>
                <w:sz w:val="20"/>
                <w:szCs w:val="20"/>
              </w:rPr>
              <w:t>how to identify milestones and targets</w:t>
            </w:r>
          </w:p>
        </w:tc>
      </w:tr>
      <w:tr w:rsidR="000C3310" w14:paraId="2590D978" w14:textId="77777777" w:rsidTr="000C3310">
        <w:tblPrEx>
          <w:tblCellMar>
            <w:top w:w="0" w:type="dxa"/>
            <w:left w:w="0" w:type="dxa"/>
            <w:bottom w:w="0" w:type="dxa"/>
            <w:right w:w="0" w:type="dxa"/>
          </w:tblCellMar>
        </w:tblPrEx>
        <w:trPr>
          <w:trHeight w:val="401"/>
        </w:trPr>
        <w:tc>
          <w:tcPr>
            <w:tcW w:w="1560" w:type="dxa"/>
          </w:tcPr>
          <w:p w14:paraId="16D11653" w14:textId="77777777" w:rsidR="000C3310" w:rsidRDefault="000C3310" w:rsidP="000C3310">
            <w:pPr>
              <w:pStyle w:val="Default"/>
              <w:rPr>
                <w:b/>
                <w:sz w:val="20"/>
                <w:szCs w:val="20"/>
              </w:rPr>
            </w:pPr>
            <w:r>
              <w:rPr>
                <w:b/>
                <w:sz w:val="20"/>
                <w:szCs w:val="20"/>
              </w:rPr>
              <w:t>Carry out work</w:t>
            </w:r>
          </w:p>
        </w:tc>
        <w:tc>
          <w:tcPr>
            <w:tcW w:w="3402" w:type="dxa"/>
          </w:tcPr>
          <w:p w14:paraId="6E521A6F" w14:textId="77777777" w:rsidR="000C3310" w:rsidRDefault="000C3310" w:rsidP="000C3310">
            <w:pPr>
              <w:pStyle w:val="Default"/>
              <w:numPr>
                <w:ilvl w:val="0"/>
                <w:numId w:val="2"/>
              </w:numPr>
              <w:ind w:left="317" w:hanging="284"/>
              <w:rPr>
                <w:sz w:val="20"/>
                <w:szCs w:val="20"/>
              </w:rPr>
            </w:pPr>
            <w:r>
              <w:rPr>
                <w:sz w:val="20"/>
                <w:szCs w:val="20"/>
              </w:rPr>
              <w:t>contribute to the investigation and management of or advice on, the historic environment.</w:t>
            </w:r>
          </w:p>
          <w:p w14:paraId="5ECCFB93" w14:textId="77777777" w:rsidR="000C3310" w:rsidRDefault="000C3310" w:rsidP="000C3310">
            <w:pPr>
              <w:pStyle w:val="Default"/>
              <w:numPr>
                <w:ilvl w:val="0"/>
                <w:numId w:val="2"/>
              </w:numPr>
              <w:ind w:left="317" w:hanging="284"/>
              <w:rPr>
                <w:sz w:val="20"/>
                <w:szCs w:val="20"/>
              </w:rPr>
            </w:pPr>
            <w:r>
              <w:rPr>
                <w:sz w:val="20"/>
                <w:szCs w:val="20"/>
              </w:rPr>
              <w:t xml:space="preserve">Support the conservation </w:t>
            </w:r>
            <w:proofErr w:type="gramStart"/>
            <w:r>
              <w:rPr>
                <w:sz w:val="20"/>
                <w:szCs w:val="20"/>
              </w:rPr>
              <w:t>work  of</w:t>
            </w:r>
            <w:proofErr w:type="gramEnd"/>
            <w:r>
              <w:rPr>
                <w:sz w:val="20"/>
                <w:szCs w:val="20"/>
              </w:rPr>
              <w:t xml:space="preserve"> past communities</w:t>
            </w:r>
          </w:p>
          <w:p w14:paraId="78DC1BED" w14:textId="77777777" w:rsidR="000C3310" w:rsidRDefault="000C3310" w:rsidP="000C3310">
            <w:pPr>
              <w:pStyle w:val="Default"/>
              <w:numPr>
                <w:ilvl w:val="0"/>
                <w:numId w:val="2"/>
              </w:numPr>
              <w:ind w:left="317" w:hanging="284"/>
              <w:rPr>
                <w:sz w:val="20"/>
                <w:szCs w:val="20"/>
              </w:rPr>
            </w:pPr>
            <w:r>
              <w:rPr>
                <w:sz w:val="20"/>
                <w:szCs w:val="20"/>
              </w:rPr>
              <w:t>collect information and assemble collections</w:t>
            </w:r>
          </w:p>
          <w:p w14:paraId="2F285806" w14:textId="77777777" w:rsidR="000C3310" w:rsidRDefault="000C3310" w:rsidP="000C3310">
            <w:pPr>
              <w:pStyle w:val="Default"/>
              <w:numPr>
                <w:ilvl w:val="0"/>
                <w:numId w:val="2"/>
              </w:numPr>
              <w:ind w:left="317" w:hanging="284"/>
              <w:rPr>
                <w:sz w:val="20"/>
                <w:szCs w:val="20"/>
              </w:rPr>
            </w:pPr>
            <w:r>
              <w:rPr>
                <w:sz w:val="20"/>
                <w:szCs w:val="20"/>
              </w:rPr>
              <w:lastRenderedPageBreak/>
              <w:t>Record and interpret results</w:t>
            </w:r>
          </w:p>
          <w:p w14:paraId="39C59AA6" w14:textId="77777777" w:rsidR="000C3310" w:rsidRDefault="000C3310" w:rsidP="000C3310">
            <w:pPr>
              <w:pStyle w:val="Default"/>
              <w:numPr>
                <w:ilvl w:val="0"/>
                <w:numId w:val="2"/>
              </w:numPr>
              <w:ind w:left="317" w:hanging="284"/>
              <w:rPr>
                <w:sz w:val="20"/>
                <w:szCs w:val="20"/>
              </w:rPr>
            </w:pPr>
            <w:r w:rsidRPr="00B04A3B">
              <w:rPr>
                <w:sz w:val="20"/>
                <w:szCs w:val="20"/>
              </w:rPr>
              <w:t>Review how effective methods and actions have been</w:t>
            </w:r>
          </w:p>
        </w:tc>
        <w:tc>
          <w:tcPr>
            <w:tcW w:w="4536" w:type="dxa"/>
          </w:tcPr>
          <w:p w14:paraId="6CCA9C2E" w14:textId="77777777" w:rsidR="000C3310" w:rsidRDefault="000C3310" w:rsidP="000C3310">
            <w:pPr>
              <w:pStyle w:val="Default"/>
              <w:numPr>
                <w:ilvl w:val="0"/>
                <w:numId w:val="2"/>
              </w:numPr>
              <w:ind w:left="317" w:hanging="284"/>
              <w:rPr>
                <w:color w:val="auto"/>
                <w:sz w:val="20"/>
                <w:szCs w:val="20"/>
              </w:rPr>
            </w:pPr>
            <w:r>
              <w:rPr>
                <w:color w:val="auto"/>
                <w:sz w:val="20"/>
                <w:szCs w:val="20"/>
              </w:rPr>
              <w:lastRenderedPageBreak/>
              <w:t xml:space="preserve">how </w:t>
            </w:r>
            <w:proofErr w:type="gramStart"/>
            <w:r>
              <w:rPr>
                <w:color w:val="auto"/>
                <w:sz w:val="20"/>
                <w:szCs w:val="20"/>
              </w:rPr>
              <w:t>to  validate</w:t>
            </w:r>
            <w:proofErr w:type="gramEnd"/>
            <w:r>
              <w:rPr>
                <w:color w:val="auto"/>
                <w:sz w:val="20"/>
                <w:szCs w:val="20"/>
              </w:rPr>
              <w:t xml:space="preserve"> methods undertaken </w:t>
            </w:r>
          </w:p>
          <w:p w14:paraId="33D694A9" w14:textId="77777777" w:rsidR="000C3310" w:rsidRDefault="000C3310" w:rsidP="000C3310">
            <w:pPr>
              <w:pStyle w:val="Default"/>
              <w:numPr>
                <w:ilvl w:val="0"/>
                <w:numId w:val="2"/>
              </w:numPr>
              <w:ind w:left="317" w:hanging="284"/>
              <w:rPr>
                <w:color w:val="auto"/>
                <w:sz w:val="20"/>
                <w:szCs w:val="20"/>
              </w:rPr>
            </w:pPr>
            <w:r>
              <w:rPr>
                <w:color w:val="auto"/>
                <w:sz w:val="20"/>
                <w:szCs w:val="20"/>
              </w:rPr>
              <w:t>how to select and secure suitable equipment and stores</w:t>
            </w:r>
          </w:p>
          <w:p w14:paraId="4A11EC4A" w14:textId="77777777" w:rsidR="000C3310" w:rsidRDefault="000C3310" w:rsidP="000C3310">
            <w:pPr>
              <w:pStyle w:val="Default"/>
              <w:numPr>
                <w:ilvl w:val="0"/>
                <w:numId w:val="2"/>
              </w:numPr>
              <w:ind w:left="317" w:hanging="284"/>
              <w:rPr>
                <w:color w:val="auto"/>
                <w:sz w:val="20"/>
                <w:szCs w:val="20"/>
              </w:rPr>
            </w:pPr>
            <w:r>
              <w:rPr>
                <w:color w:val="auto"/>
                <w:sz w:val="20"/>
                <w:szCs w:val="20"/>
              </w:rPr>
              <w:t>how to check, calibrate and maintain equipment</w:t>
            </w:r>
          </w:p>
          <w:p w14:paraId="2CA2A501" w14:textId="77777777" w:rsidR="000C3310" w:rsidRDefault="000C3310" w:rsidP="000C3310">
            <w:pPr>
              <w:pStyle w:val="Default"/>
              <w:numPr>
                <w:ilvl w:val="0"/>
                <w:numId w:val="2"/>
              </w:numPr>
              <w:ind w:left="317" w:hanging="284"/>
              <w:rPr>
                <w:color w:val="auto"/>
                <w:sz w:val="20"/>
                <w:szCs w:val="20"/>
              </w:rPr>
            </w:pPr>
            <w:r>
              <w:rPr>
                <w:color w:val="auto"/>
                <w:sz w:val="20"/>
                <w:szCs w:val="20"/>
              </w:rPr>
              <w:t>how to conduct oneself to the work in hand</w:t>
            </w:r>
          </w:p>
          <w:p w14:paraId="76A0F432" w14:textId="77777777" w:rsidR="000C3310" w:rsidRDefault="000C3310" w:rsidP="000C3310">
            <w:pPr>
              <w:pStyle w:val="Default"/>
              <w:numPr>
                <w:ilvl w:val="0"/>
                <w:numId w:val="2"/>
              </w:numPr>
              <w:ind w:left="317" w:hanging="284"/>
              <w:rPr>
                <w:color w:val="auto"/>
                <w:sz w:val="20"/>
                <w:szCs w:val="20"/>
              </w:rPr>
            </w:pPr>
            <w:r>
              <w:rPr>
                <w:color w:val="auto"/>
                <w:sz w:val="20"/>
                <w:szCs w:val="20"/>
              </w:rPr>
              <w:t xml:space="preserve">how to </w:t>
            </w:r>
            <w:proofErr w:type="gramStart"/>
            <w:r>
              <w:rPr>
                <w:color w:val="auto"/>
                <w:sz w:val="20"/>
                <w:szCs w:val="20"/>
              </w:rPr>
              <w:t>apply  procedures</w:t>
            </w:r>
            <w:proofErr w:type="gramEnd"/>
            <w:r>
              <w:rPr>
                <w:color w:val="auto"/>
                <w:sz w:val="20"/>
                <w:szCs w:val="20"/>
              </w:rPr>
              <w:t xml:space="preserve"> and practices to suit different materials, conditions and audiences</w:t>
            </w:r>
          </w:p>
          <w:p w14:paraId="17C52464" w14:textId="77777777" w:rsidR="000C3310" w:rsidRDefault="000C3310" w:rsidP="000C3310">
            <w:pPr>
              <w:pStyle w:val="Default"/>
              <w:numPr>
                <w:ilvl w:val="0"/>
                <w:numId w:val="2"/>
              </w:numPr>
              <w:ind w:left="317" w:hanging="284"/>
              <w:rPr>
                <w:color w:val="auto"/>
                <w:sz w:val="20"/>
                <w:szCs w:val="20"/>
              </w:rPr>
            </w:pPr>
            <w:r>
              <w:rPr>
                <w:color w:val="auto"/>
                <w:sz w:val="20"/>
                <w:szCs w:val="20"/>
              </w:rPr>
              <w:lastRenderedPageBreak/>
              <w:t>how to record and store data</w:t>
            </w:r>
          </w:p>
          <w:p w14:paraId="0111DE7C" w14:textId="77777777" w:rsidR="000C3310" w:rsidRDefault="000C3310" w:rsidP="000C3310">
            <w:pPr>
              <w:pStyle w:val="Default"/>
              <w:numPr>
                <w:ilvl w:val="0"/>
                <w:numId w:val="2"/>
              </w:numPr>
              <w:ind w:left="317" w:hanging="284"/>
              <w:rPr>
                <w:color w:val="auto"/>
                <w:sz w:val="20"/>
                <w:szCs w:val="20"/>
              </w:rPr>
            </w:pPr>
            <w:r>
              <w:rPr>
                <w:color w:val="auto"/>
                <w:sz w:val="20"/>
                <w:szCs w:val="20"/>
              </w:rPr>
              <w:t>how to present results</w:t>
            </w:r>
          </w:p>
        </w:tc>
      </w:tr>
      <w:tr w:rsidR="000C3310" w14:paraId="633AFB75" w14:textId="77777777" w:rsidTr="000C3310">
        <w:tblPrEx>
          <w:tblCellMar>
            <w:top w:w="0" w:type="dxa"/>
            <w:left w:w="0" w:type="dxa"/>
            <w:bottom w:w="0" w:type="dxa"/>
            <w:right w:w="0" w:type="dxa"/>
          </w:tblCellMar>
        </w:tblPrEx>
        <w:trPr>
          <w:trHeight w:val="401"/>
        </w:trPr>
        <w:tc>
          <w:tcPr>
            <w:tcW w:w="1560" w:type="dxa"/>
          </w:tcPr>
          <w:p w14:paraId="40F3A0B2" w14:textId="77777777" w:rsidR="000C3310" w:rsidRDefault="000C3310" w:rsidP="000C3310">
            <w:pPr>
              <w:pStyle w:val="Default"/>
              <w:rPr>
                <w:b/>
                <w:sz w:val="20"/>
                <w:szCs w:val="20"/>
              </w:rPr>
            </w:pPr>
            <w:r>
              <w:rPr>
                <w:b/>
                <w:sz w:val="20"/>
                <w:szCs w:val="20"/>
              </w:rPr>
              <w:lastRenderedPageBreak/>
              <w:t>Customer Service</w:t>
            </w:r>
          </w:p>
        </w:tc>
        <w:tc>
          <w:tcPr>
            <w:tcW w:w="3402" w:type="dxa"/>
          </w:tcPr>
          <w:p w14:paraId="5D68924F" w14:textId="77777777" w:rsidR="000C3310" w:rsidRDefault="000C3310" w:rsidP="000C3310">
            <w:pPr>
              <w:pStyle w:val="Default"/>
              <w:numPr>
                <w:ilvl w:val="0"/>
                <w:numId w:val="2"/>
              </w:numPr>
              <w:ind w:left="317" w:hanging="284"/>
              <w:rPr>
                <w:sz w:val="20"/>
                <w:szCs w:val="20"/>
              </w:rPr>
            </w:pPr>
            <w:r>
              <w:rPr>
                <w:rFonts w:cs="Arial"/>
                <w:sz w:val="20"/>
                <w:szCs w:val="20"/>
              </w:rPr>
              <w:t xml:space="preserve">Receive customers' requests for information </w:t>
            </w:r>
          </w:p>
          <w:p w14:paraId="0FC1C75B" w14:textId="77777777" w:rsidR="000C3310" w:rsidRDefault="000C3310" w:rsidP="000C3310">
            <w:pPr>
              <w:pStyle w:val="Default"/>
              <w:numPr>
                <w:ilvl w:val="0"/>
                <w:numId w:val="2"/>
              </w:numPr>
              <w:ind w:left="317" w:hanging="284"/>
              <w:rPr>
                <w:sz w:val="20"/>
                <w:szCs w:val="20"/>
              </w:rPr>
            </w:pPr>
            <w:r>
              <w:rPr>
                <w:sz w:val="20"/>
                <w:szCs w:val="20"/>
              </w:rPr>
              <w:t>Collate and present data to meet customers’ requirements</w:t>
            </w:r>
          </w:p>
        </w:tc>
        <w:tc>
          <w:tcPr>
            <w:tcW w:w="4536" w:type="dxa"/>
          </w:tcPr>
          <w:p w14:paraId="18099BB1" w14:textId="77777777" w:rsidR="000C3310" w:rsidRDefault="000C3310" w:rsidP="000C3310">
            <w:pPr>
              <w:pStyle w:val="Default"/>
              <w:numPr>
                <w:ilvl w:val="0"/>
                <w:numId w:val="2"/>
              </w:numPr>
              <w:ind w:left="317" w:hanging="284"/>
              <w:rPr>
                <w:color w:val="auto"/>
                <w:sz w:val="20"/>
                <w:szCs w:val="20"/>
              </w:rPr>
            </w:pPr>
            <w:r>
              <w:rPr>
                <w:color w:val="auto"/>
                <w:sz w:val="20"/>
                <w:szCs w:val="20"/>
              </w:rPr>
              <w:t>How to address user and audience requirements, needs, expectations, capacities</w:t>
            </w:r>
          </w:p>
          <w:p w14:paraId="43A6A087" w14:textId="77777777" w:rsidR="000C3310" w:rsidRDefault="000C3310" w:rsidP="000C3310">
            <w:pPr>
              <w:pStyle w:val="Default"/>
              <w:numPr>
                <w:ilvl w:val="0"/>
                <w:numId w:val="2"/>
              </w:numPr>
              <w:ind w:left="317" w:hanging="284"/>
              <w:rPr>
                <w:color w:val="auto"/>
                <w:sz w:val="20"/>
                <w:szCs w:val="20"/>
              </w:rPr>
            </w:pPr>
            <w:r>
              <w:rPr>
                <w:color w:val="auto"/>
                <w:sz w:val="20"/>
                <w:szCs w:val="20"/>
              </w:rPr>
              <w:t xml:space="preserve">how to consider client goals, expectations and </w:t>
            </w:r>
            <w:proofErr w:type="gramStart"/>
            <w:r>
              <w:rPr>
                <w:color w:val="auto"/>
                <w:sz w:val="20"/>
                <w:szCs w:val="20"/>
              </w:rPr>
              <w:t>priorities</w:t>
            </w:r>
            <w:proofErr w:type="gramEnd"/>
          </w:p>
          <w:p w14:paraId="6A6942F7" w14:textId="77777777" w:rsidR="000C3310" w:rsidRDefault="000C3310" w:rsidP="000C3310">
            <w:pPr>
              <w:pStyle w:val="Default"/>
              <w:numPr>
                <w:ilvl w:val="0"/>
                <w:numId w:val="2"/>
              </w:numPr>
              <w:ind w:left="317" w:hanging="284"/>
              <w:rPr>
                <w:color w:val="auto"/>
                <w:sz w:val="20"/>
                <w:szCs w:val="20"/>
              </w:rPr>
            </w:pPr>
            <w:r>
              <w:rPr>
                <w:color w:val="auto"/>
                <w:sz w:val="20"/>
                <w:szCs w:val="20"/>
              </w:rPr>
              <w:t xml:space="preserve">how </w:t>
            </w:r>
            <w:proofErr w:type="gramStart"/>
            <w:r>
              <w:rPr>
                <w:color w:val="auto"/>
                <w:sz w:val="20"/>
                <w:szCs w:val="20"/>
              </w:rPr>
              <w:t>to  maintain</w:t>
            </w:r>
            <w:proofErr w:type="gramEnd"/>
            <w:r>
              <w:rPr>
                <w:color w:val="auto"/>
                <w:sz w:val="20"/>
                <w:szCs w:val="20"/>
              </w:rPr>
              <w:t xml:space="preserve"> honest and constructive relationships </w:t>
            </w:r>
          </w:p>
        </w:tc>
      </w:tr>
      <w:tr w:rsidR="000C3310" w14:paraId="4E6BFF3B" w14:textId="77777777" w:rsidTr="000C3310">
        <w:tblPrEx>
          <w:tblCellMar>
            <w:top w:w="0" w:type="dxa"/>
            <w:left w:w="0" w:type="dxa"/>
            <w:bottom w:w="0" w:type="dxa"/>
            <w:right w:w="0" w:type="dxa"/>
          </w:tblCellMar>
        </w:tblPrEx>
        <w:trPr>
          <w:trHeight w:val="1479"/>
        </w:trPr>
        <w:tc>
          <w:tcPr>
            <w:tcW w:w="1560" w:type="dxa"/>
          </w:tcPr>
          <w:p w14:paraId="68CDAFC3" w14:textId="77777777" w:rsidR="000C3310" w:rsidRDefault="000C3310" w:rsidP="000C3310">
            <w:pPr>
              <w:pStyle w:val="Default"/>
              <w:rPr>
                <w:b/>
                <w:sz w:val="20"/>
                <w:szCs w:val="20"/>
              </w:rPr>
            </w:pPr>
            <w:r>
              <w:rPr>
                <w:b/>
                <w:sz w:val="20"/>
                <w:szCs w:val="20"/>
              </w:rPr>
              <w:t xml:space="preserve">Personal and Professional Development </w:t>
            </w:r>
          </w:p>
        </w:tc>
        <w:tc>
          <w:tcPr>
            <w:tcW w:w="3402" w:type="dxa"/>
          </w:tcPr>
          <w:p w14:paraId="35DCBA23" w14:textId="77777777" w:rsidR="000C3310" w:rsidRDefault="000C3310" w:rsidP="000C3310">
            <w:pPr>
              <w:pStyle w:val="Default"/>
              <w:numPr>
                <w:ilvl w:val="0"/>
                <w:numId w:val="2"/>
              </w:numPr>
              <w:ind w:left="317" w:hanging="284"/>
              <w:rPr>
                <w:sz w:val="20"/>
                <w:szCs w:val="20"/>
              </w:rPr>
            </w:pPr>
            <w:r>
              <w:rPr>
                <w:sz w:val="20"/>
                <w:szCs w:val="20"/>
              </w:rPr>
              <w:t xml:space="preserve">Seek </w:t>
            </w:r>
            <w:proofErr w:type="gramStart"/>
            <w:r>
              <w:rPr>
                <w:sz w:val="20"/>
                <w:szCs w:val="20"/>
              </w:rPr>
              <w:t>out  the</w:t>
            </w:r>
            <w:proofErr w:type="gramEnd"/>
            <w:r>
              <w:rPr>
                <w:sz w:val="20"/>
                <w:szCs w:val="20"/>
              </w:rPr>
              <w:t xml:space="preserve"> advances in the body of knowledge and Heritage Environment Practice</w:t>
            </w:r>
          </w:p>
          <w:p w14:paraId="6FDD9293" w14:textId="77777777" w:rsidR="000C3310" w:rsidRDefault="000C3310" w:rsidP="000C3310">
            <w:pPr>
              <w:pStyle w:val="Default"/>
              <w:numPr>
                <w:ilvl w:val="0"/>
                <w:numId w:val="2"/>
              </w:numPr>
              <w:ind w:left="317" w:hanging="284"/>
              <w:rPr>
                <w:sz w:val="20"/>
                <w:szCs w:val="20"/>
              </w:rPr>
            </w:pPr>
            <w:r>
              <w:rPr>
                <w:sz w:val="20"/>
                <w:szCs w:val="20"/>
              </w:rPr>
              <w:t>Commit to continuous improvement and personal development</w:t>
            </w:r>
          </w:p>
        </w:tc>
        <w:tc>
          <w:tcPr>
            <w:tcW w:w="4536" w:type="dxa"/>
          </w:tcPr>
          <w:p w14:paraId="224D04A5" w14:textId="77777777" w:rsidR="000C3310" w:rsidRDefault="000C3310" w:rsidP="000C3310">
            <w:pPr>
              <w:pStyle w:val="Default"/>
              <w:numPr>
                <w:ilvl w:val="0"/>
                <w:numId w:val="2"/>
              </w:numPr>
              <w:ind w:left="317" w:hanging="284"/>
              <w:rPr>
                <w:sz w:val="20"/>
                <w:szCs w:val="20"/>
              </w:rPr>
            </w:pPr>
            <w:r>
              <w:rPr>
                <w:sz w:val="20"/>
                <w:szCs w:val="20"/>
              </w:rPr>
              <w:t xml:space="preserve">how to develop a personal action plan for learning and self-development with realistic but challenging </w:t>
            </w:r>
            <w:proofErr w:type="gramStart"/>
            <w:r>
              <w:rPr>
                <w:sz w:val="20"/>
                <w:szCs w:val="20"/>
              </w:rPr>
              <w:t>objectives</w:t>
            </w:r>
            <w:proofErr w:type="gramEnd"/>
          </w:p>
          <w:p w14:paraId="7FB7EF80" w14:textId="77777777" w:rsidR="000C3310" w:rsidRDefault="000C3310" w:rsidP="000C3310">
            <w:pPr>
              <w:pStyle w:val="Default"/>
              <w:numPr>
                <w:ilvl w:val="0"/>
                <w:numId w:val="2"/>
              </w:numPr>
              <w:ind w:left="317" w:hanging="284"/>
              <w:rPr>
                <w:sz w:val="20"/>
                <w:szCs w:val="20"/>
              </w:rPr>
            </w:pPr>
            <w:r>
              <w:rPr>
                <w:sz w:val="20"/>
                <w:szCs w:val="20"/>
              </w:rPr>
              <w:t>how to select and apply appropriate learning techniques and methods</w:t>
            </w:r>
          </w:p>
        </w:tc>
      </w:tr>
    </w:tbl>
    <w:p w14:paraId="202B4C7B" w14:textId="77777777" w:rsidR="000C3310" w:rsidRDefault="000C3310" w:rsidP="000C3310">
      <w:pPr>
        <w:spacing w:line="240" w:lineRule="auto"/>
        <w:ind w:left="567"/>
        <w:rPr>
          <w:b/>
          <w:bCs/>
          <w:sz w:val="24"/>
          <w:szCs w:val="24"/>
        </w:rPr>
      </w:pPr>
    </w:p>
    <w:p w14:paraId="3821E08D" w14:textId="77777777" w:rsidR="000C3310" w:rsidRPr="007828FF" w:rsidRDefault="000C3310" w:rsidP="000C3310">
      <w:pPr>
        <w:spacing w:line="240" w:lineRule="auto"/>
        <w:ind w:left="567"/>
        <w:rPr>
          <w:sz w:val="24"/>
          <w:szCs w:val="24"/>
        </w:rPr>
      </w:pPr>
      <w:r w:rsidRPr="007828FF">
        <w:rPr>
          <w:b/>
          <w:bCs/>
          <w:sz w:val="24"/>
          <w:szCs w:val="24"/>
        </w:rPr>
        <w:t xml:space="preserve">Behaviours </w:t>
      </w:r>
    </w:p>
    <w:p w14:paraId="06B06136" w14:textId="77777777" w:rsidR="000C3310" w:rsidRPr="007828FF" w:rsidRDefault="000C3310" w:rsidP="000C3310">
      <w:pPr>
        <w:spacing w:line="240" w:lineRule="auto"/>
        <w:ind w:left="567"/>
        <w:rPr>
          <w:sz w:val="24"/>
          <w:szCs w:val="24"/>
        </w:rPr>
      </w:pPr>
      <w:r w:rsidRPr="007828FF">
        <w:rPr>
          <w:sz w:val="24"/>
          <w:szCs w:val="24"/>
        </w:rPr>
        <w:t xml:space="preserve">Heritage Environment Practitioners will be expected to demonstrate: </w:t>
      </w:r>
    </w:p>
    <w:p w14:paraId="378DFBE1"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Appropriate </w:t>
      </w:r>
      <w:r>
        <w:rPr>
          <w:rFonts w:ascii="Calibri" w:hAnsi="Calibri"/>
          <w:sz w:val="24"/>
          <w:szCs w:val="24"/>
        </w:rPr>
        <w:t xml:space="preserve">health and </w:t>
      </w:r>
      <w:r w:rsidRPr="007828FF">
        <w:rPr>
          <w:rFonts w:ascii="Calibri" w:hAnsi="Calibri"/>
          <w:sz w:val="24"/>
          <w:szCs w:val="24"/>
        </w:rPr>
        <w:t xml:space="preserve">safety behaviours individually and towards others </w:t>
      </w:r>
    </w:p>
    <w:p w14:paraId="5D04C778"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 commitment to quality and continuous improvement </w:t>
      </w:r>
    </w:p>
    <w:p w14:paraId="1B65338B"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Commercial awareness and business acumen </w:t>
      </w:r>
    </w:p>
    <w:p w14:paraId="14771305"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 focus on the requirements of the customer </w:t>
      </w:r>
    </w:p>
    <w:p w14:paraId="37217125"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 xml:space="preserve">An ability to work effectively individually and as part of a team </w:t>
      </w:r>
    </w:p>
    <w:p w14:paraId="18FE797A" w14:textId="77777777" w:rsidR="000C3310" w:rsidRPr="007828FF" w:rsidRDefault="000C3310" w:rsidP="000C3310">
      <w:pPr>
        <w:pStyle w:val="ListParagraph"/>
        <w:numPr>
          <w:ilvl w:val="0"/>
          <w:numId w:val="1"/>
        </w:numPr>
        <w:spacing w:line="240" w:lineRule="auto"/>
        <w:ind w:left="567" w:firstLine="0"/>
        <w:rPr>
          <w:rFonts w:ascii="Calibri" w:hAnsi="Calibri"/>
          <w:sz w:val="24"/>
          <w:szCs w:val="24"/>
        </w:rPr>
      </w:pPr>
      <w:r w:rsidRPr="007828FF">
        <w:rPr>
          <w:rFonts w:ascii="Calibri" w:hAnsi="Calibri"/>
          <w:sz w:val="24"/>
          <w:szCs w:val="24"/>
        </w:rPr>
        <w:t>An ability to communicate with all levels of their own and other organisations, and the general public</w:t>
      </w:r>
    </w:p>
    <w:p w14:paraId="7586F969" w14:textId="77777777" w:rsidR="000C3310" w:rsidRPr="007828FF" w:rsidRDefault="000C3310" w:rsidP="000C3310">
      <w:pPr>
        <w:pStyle w:val="ListParagraph"/>
        <w:numPr>
          <w:ilvl w:val="0"/>
          <w:numId w:val="1"/>
        </w:numPr>
        <w:spacing w:line="240" w:lineRule="auto"/>
        <w:ind w:hanging="153"/>
        <w:rPr>
          <w:rFonts w:ascii="Calibri" w:hAnsi="Calibri"/>
          <w:sz w:val="24"/>
          <w:szCs w:val="24"/>
        </w:rPr>
      </w:pPr>
      <w:r w:rsidRPr="007828FF">
        <w:rPr>
          <w:rFonts w:ascii="Calibri" w:hAnsi="Calibri"/>
          <w:sz w:val="24"/>
          <w:szCs w:val="24"/>
        </w:rPr>
        <w:t>Sensitivity to and awareness of the cultural, historic and spiritual context of objects and structures</w:t>
      </w:r>
    </w:p>
    <w:p w14:paraId="561B24E8" w14:textId="77777777" w:rsidR="000C3310" w:rsidRPr="007828FF" w:rsidRDefault="000C3310" w:rsidP="000C3310">
      <w:pPr>
        <w:spacing w:line="240" w:lineRule="auto"/>
        <w:ind w:left="567"/>
        <w:rPr>
          <w:sz w:val="24"/>
          <w:szCs w:val="24"/>
        </w:rPr>
      </w:pPr>
      <w:r w:rsidRPr="007828FF">
        <w:rPr>
          <w:b/>
          <w:bCs/>
          <w:sz w:val="24"/>
          <w:szCs w:val="24"/>
        </w:rPr>
        <w:t xml:space="preserve">Entry requirements </w:t>
      </w:r>
    </w:p>
    <w:p w14:paraId="6A63CA8B" w14:textId="77777777" w:rsidR="000C3310" w:rsidRPr="007828FF" w:rsidRDefault="000C3310" w:rsidP="000C3310">
      <w:pPr>
        <w:spacing w:line="240" w:lineRule="auto"/>
        <w:ind w:left="567"/>
        <w:rPr>
          <w:sz w:val="24"/>
          <w:szCs w:val="24"/>
        </w:rPr>
      </w:pPr>
      <w:r w:rsidRPr="007828FF">
        <w:rPr>
          <w:sz w:val="24"/>
          <w:szCs w:val="24"/>
        </w:rPr>
        <w:t xml:space="preserve">Individual employers will identify any relevant entry requirements. Most candidates will typically have GCSEs (or equivalent) at A*- C including maths, English and possibly a relevant science. </w:t>
      </w:r>
    </w:p>
    <w:p w14:paraId="115E36C7" w14:textId="77777777" w:rsidR="000C3310" w:rsidRPr="00C2295C" w:rsidRDefault="000C3310" w:rsidP="000C3310">
      <w:pPr>
        <w:spacing w:line="240" w:lineRule="auto"/>
        <w:ind w:left="567"/>
        <w:rPr>
          <w:sz w:val="24"/>
          <w:szCs w:val="24"/>
        </w:rPr>
      </w:pPr>
      <w:r w:rsidRPr="00325C39">
        <w:rPr>
          <w:rFonts w:cs="Helvetica"/>
          <w:color w:val="000000"/>
          <w:sz w:val="24"/>
          <w:szCs w:val="24"/>
          <w:lang w:val="en-US"/>
        </w:rPr>
        <w:t>Apprentices without Level 2 English &amp; Maths will be required to achieve this level prior to taking their end-point assessment</w:t>
      </w:r>
    </w:p>
    <w:p w14:paraId="66682291" w14:textId="77777777" w:rsidR="000C3310" w:rsidRPr="007828FF" w:rsidRDefault="000C3310" w:rsidP="000C3310">
      <w:pPr>
        <w:spacing w:line="240" w:lineRule="auto"/>
        <w:ind w:left="567"/>
        <w:rPr>
          <w:sz w:val="24"/>
          <w:szCs w:val="24"/>
        </w:rPr>
      </w:pPr>
      <w:r w:rsidRPr="007828FF">
        <w:rPr>
          <w:b/>
          <w:bCs/>
          <w:sz w:val="24"/>
          <w:szCs w:val="24"/>
        </w:rPr>
        <w:t xml:space="preserve">Duration </w:t>
      </w:r>
    </w:p>
    <w:p w14:paraId="4403104F" w14:textId="77777777" w:rsidR="000C3310" w:rsidRPr="007828FF" w:rsidRDefault="000C3310" w:rsidP="000C3310">
      <w:pPr>
        <w:spacing w:line="240" w:lineRule="auto"/>
        <w:ind w:left="567"/>
        <w:rPr>
          <w:sz w:val="24"/>
          <w:szCs w:val="24"/>
        </w:rPr>
      </w:pPr>
      <w:r w:rsidRPr="007828FF">
        <w:rPr>
          <w:sz w:val="24"/>
          <w:szCs w:val="24"/>
        </w:rPr>
        <w:t>Practitioners require a significant amount of training and experience to undertake their role and the full apprenticeship will last a minimum of 12 months</w:t>
      </w:r>
    </w:p>
    <w:p w14:paraId="4495754D" w14:textId="77777777" w:rsidR="000C3310" w:rsidRPr="007828FF" w:rsidRDefault="000C3310" w:rsidP="000C3310">
      <w:pPr>
        <w:spacing w:line="240" w:lineRule="auto"/>
        <w:ind w:left="567"/>
        <w:rPr>
          <w:sz w:val="24"/>
          <w:szCs w:val="24"/>
        </w:rPr>
      </w:pPr>
      <w:r w:rsidRPr="007828FF">
        <w:rPr>
          <w:b/>
          <w:bCs/>
          <w:sz w:val="24"/>
          <w:szCs w:val="24"/>
        </w:rPr>
        <w:t xml:space="preserve">Link to professional registration and progression </w:t>
      </w:r>
    </w:p>
    <w:p w14:paraId="34C1D334" w14:textId="77777777" w:rsidR="000C3310" w:rsidRPr="007828FF" w:rsidRDefault="000C3310" w:rsidP="000C3310">
      <w:pPr>
        <w:spacing w:line="240" w:lineRule="auto"/>
        <w:ind w:left="567"/>
        <w:rPr>
          <w:sz w:val="24"/>
          <w:szCs w:val="24"/>
        </w:rPr>
      </w:pPr>
      <w:r w:rsidRPr="007828FF">
        <w:rPr>
          <w:sz w:val="24"/>
          <w:szCs w:val="24"/>
        </w:rPr>
        <w:t>This will be recognised by Chartered Institute for Archaeology (CIfA), Institute of Conservation (Icon)</w:t>
      </w:r>
      <w:r>
        <w:rPr>
          <w:sz w:val="24"/>
          <w:szCs w:val="24"/>
        </w:rPr>
        <w:t xml:space="preserve"> or other professional bodies</w:t>
      </w:r>
      <w:r w:rsidRPr="007828FF">
        <w:rPr>
          <w:sz w:val="24"/>
          <w:szCs w:val="24"/>
        </w:rPr>
        <w:t xml:space="preserve"> on successful completion of the apprenticeship. </w:t>
      </w:r>
    </w:p>
    <w:p w14:paraId="0AD04FA1" w14:textId="77777777" w:rsidR="000C3310" w:rsidRPr="007828FF" w:rsidRDefault="000C3310" w:rsidP="000C3310">
      <w:pPr>
        <w:spacing w:line="240" w:lineRule="auto"/>
        <w:ind w:left="567"/>
        <w:rPr>
          <w:sz w:val="24"/>
          <w:szCs w:val="24"/>
        </w:rPr>
      </w:pPr>
      <w:r w:rsidRPr="007828FF">
        <w:rPr>
          <w:sz w:val="24"/>
          <w:szCs w:val="24"/>
        </w:rPr>
        <w:t>The HEP apprenticeship is designed to be flexible and to encourage apprentices who may be seeking additional training to improve their skills and further their ambitions. In order to facilitate this, the full HEP apprenticeship programme is structured around three gateways which allow flexible entry and departure. These are this one at Level 3 (GCE/NVQ), Level 5 (Foundation Degree), and Level 6 (First Degree). Apprenticeships may also continue up to Level 7 (Masters) where the candidate, their work up to level 6 and employment circumstances justify it. Similarly, apprentices may graduate earlier or join later, depending on ability, preference or circumstance.</w:t>
      </w:r>
    </w:p>
    <w:p w14:paraId="748B8FE1" w14:textId="77777777" w:rsidR="000C3310" w:rsidRPr="007828FF" w:rsidRDefault="000C3310" w:rsidP="000C3310">
      <w:pPr>
        <w:spacing w:line="240" w:lineRule="auto"/>
        <w:ind w:left="567"/>
        <w:rPr>
          <w:sz w:val="24"/>
          <w:szCs w:val="24"/>
        </w:rPr>
      </w:pPr>
      <w:r w:rsidRPr="007828FF">
        <w:rPr>
          <w:b/>
          <w:bCs/>
          <w:sz w:val="24"/>
          <w:szCs w:val="24"/>
        </w:rPr>
        <w:t xml:space="preserve">Review date - </w:t>
      </w:r>
      <w:r w:rsidRPr="007828FF">
        <w:rPr>
          <w:sz w:val="24"/>
          <w:szCs w:val="24"/>
        </w:rPr>
        <w:t>The standard will be reviewed after 3 years.</w:t>
      </w:r>
    </w:p>
    <w:p w14:paraId="291B9404" w14:textId="77777777" w:rsidR="00BC282A" w:rsidRDefault="00BC282A"/>
    <w:sectPr w:rsidR="00BC282A">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AC1002"/>
    <w:lvl w:ilvl="0" w:tplc="08090001">
      <w:start w:val="1"/>
      <w:numFmt w:val="bullet"/>
      <w:lvlText w:val=""/>
      <w:lvlJc w:val="left"/>
      <w:pPr>
        <w:ind w:left="720" w:hanging="360"/>
      </w:pPr>
      <w:rPr>
        <w:rFonts w:ascii="Symbol" w:hAnsi="Symbol"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4"/>
    <w:multiLevelType w:val="hybridMultilevel"/>
    <w:tmpl w:val="DDEC2E1A"/>
    <w:lvl w:ilvl="0" w:tplc="08090001">
      <w:start w:val="1"/>
      <w:numFmt w:val="bullet"/>
      <w:lvlText w:val=""/>
      <w:lvlJc w:val="left"/>
      <w:pPr>
        <w:ind w:left="720" w:hanging="360"/>
      </w:pPr>
      <w:rPr>
        <w:rFonts w:ascii="Symbol" w:hAnsi="Symbol" w:hint="default"/>
      </w:rPr>
    </w:lvl>
    <w:lvl w:ilvl="1" w:tplc="08090003">
      <w:start w:val="1"/>
      <w:numFmt w:val="bullet"/>
      <w:lvlRestart w:val="0"/>
      <w:lvlText w:val="o"/>
      <w:lvlJc w:val="left"/>
      <w:pPr>
        <w:ind w:left="1440" w:hanging="360"/>
      </w:pPr>
      <w:rPr>
        <w:rFonts w:ascii="Courier New" w:hAnsi="Courier New" w:cs="Courier New" w:hint="default"/>
      </w:rPr>
    </w:lvl>
    <w:lvl w:ilvl="2" w:tplc="08090005">
      <w:start w:val="1"/>
      <w:numFmt w:val="bullet"/>
      <w:lvlRestart w:val="0"/>
      <w:lvlText w:val=""/>
      <w:lvlJc w:val="left"/>
      <w:pPr>
        <w:ind w:left="2160" w:hanging="360"/>
      </w:pPr>
      <w:rPr>
        <w:rFonts w:ascii="Wingdings" w:hAnsi="Wingdings" w:hint="default"/>
      </w:rPr>
    </w:lvl>
    <w:lvl w:ilvl="3" w:tplc="08090001">
      <w:start w:val="1"/>
      <w:numFmt w:val="bullet"/>
      <w:lvlRestart w:val="0"/>
      <w:lvlText w:val=""/>
      <w:lvlJc w:val="left"/>
      <w:pPr>
        <w:ind w:left="2880" w:hanging="360"/>
      </w:pPr>
      <w:rPr>
        <w:rFonts w:ascii="Symbol" w:hAnsi="Symbol" w:hint="default"/>
      </w:rPr>
    </w:lvl>
    <w:lvl w:ilvl="4" w:tplc="08090003">
      <w:start w:val="1"/>
      <w:numFmt w:val="bullet"/>
      <w:lvlRestart w:val="0"/>
      <w:lvlText w:val="o"/>
      <w:lvlJc w:val="left"/>
      <w:pPr>
        <w:ind w:left="3600" w:hanging="360"/>
      </w:pPr>
      <w:rPr>
        <w:rFonts w:ascii="Courier New" w:hAnsi="Courier New" w:cs="Courier New" w:hint="default"/>
      </w:rPr>
    </w:lvl>
    <w:lvl w:ilvl="5" w:tplc="08090005">
      <w:start w:val="1"/>
      <w:numFmt w:val="bullet"/>
      <w:lvlRestart w:val="0"/>
      <w:lvlText w:val=""/>
      <w:lvlJc w:val="left"/>
      <w:pPr>
        <w:ind w:left="4320" w:hanging="360"/>
      </w:pPr>
      <w:rPr>
        <w:rFonts w:ascii="Wingdings" w:hAnsi="Wingdings" w:hint="default"/>
      </w:rPr>
    </w:lvl>
    <w:lvl w:ilvl="6" w:tplc="08090001">
      <w:start w:val="1"/>
      <w:numFmt w:val="bullet"/>
      <w:lvlRestart w:val="0"/>
      <w:lvlText w:val=""/>
      <w:lvlJc w:val="left"/>
      <w:pPr>
        <w:ind w:left="5040" w:hanging="360"/>
      </w:pPr>
      <w:rPr>
        <w:rFonts w:ascii="Symbol" w:hAnsi="Symbol" w:hint="default"/>
      </w:rPr>
    </w:lvl>
    <w:lvl w:ilvl="7" w:tplc="08090003">
      <w:start w:val="1"/>
      <w:numFmt w:val="bullet"/>
      <w:lvlRestart w:val="0"/>
      <w:lvlText w:val="o"/>
      <w:lvlJc w:val="left"/>
      <w:pPr>
        <w:ind w:left="5760" w:hanging="360"/>
      </w:pPr>
      <w:rPr>
        <w:rFonts w:ascii="Courier New" w:hAnsi="Courier New" w:cs="Courier New" w:hint="default"/>
      </w:rPr>
    </w:lvl>
    <w:lvl w:ilvl="8" w:tplc="08090005">
      <w:start w:val="1"/>
      <w:numFmt w:val="bullet"/>
      <w:lvlRestart w:val="0"/>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10"/>
    <w:rsid w:val="00000C8C"/>
    <w:rsid w:val="000C3310"/>
    <w:rsid w:val="00BC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68FE6C"/>
  <w15:chartTrackingRefBased/>
  <w15:docId w15:val="{A1E0D506-EB85-4220-98B7-F664DC2E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310"/>
    <w:pPr>
      <w:autoSpaceDE w:val="0"/>
      <w:autoSpaceDN w:val="0"/>
      <w:adjustRightInd w:val="0"/>
    </w:pPr>
    <w:rPr>
      <w:rFonts w:eastAsia="SimSun" w:cs="Calibri"/>
      <w:color w:val="000000"/>
      <w:sz w:val="24"/>
      <w:szCs w:val="24"/>
      <w:lang w:eastAsia="en-US"/>
    </w:rPr>
  </w:style>
  <w:style w:type="paragraph" w:styleId="ListParagraph">
    <w:name w:val="List Paragraph"/>
    <w:basedOn w:val="Normal"/>
    <w:qFormat/>
    <w:rsid w:val="000C3310"/>
    <w:pPr>
      <w:ind w:left="720"/>
      <w:contextualSpacing/>
    </w:pPr>
    <w:rPr>
      <w:rFonts w:ascii="Times New Roman" w:eastAsia="SimSun" w:hAnsi="Times New Roman"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5496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Bob</dc:creator>
  <cp:keywords/>
  <cp:lastModifiedBy>Joanna Theobald</cp:lastModifiedBy>
  <cp:revision>2</cp:revision>
  <dcterms:created xsi:type="dcterms:W3CDTF">2016-03-18T18:43:00Z</dcterms:created>
  <dcterms:modified xsi:type="dcterms:W3CDTF">2016-03-18T18:43:00Z</dcterms:modified>
</cp:coreProperties>
</file>